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58" w:rsidRDefault="00693658" w:rsidP="00693658">
      <w:pPr>
        <w:snapToGrid w:val="0"/>
        <w:jc w:val="center"/>
        <w:rPr>
          <w:rFonts w:ascii="華康超明體(P)" w:eastAsia="華康超明體(P)"/>
          <w:sz w:val="36"/>
        </w:rPr>
      </w:pPr>
      <w:r>
        <w:rPr>
          <w:rFonts w:ascii="華康超明體(P)" w:eastAsia="華康超明體(P)" w:hint="eastAsia"/>
          <w:sz w:val="36"/>
        </w:rPr>
        <w:t>嘉義市私立興華高級中學圖書館第216【好書週報】</w:t>
      </w:r>
    </w:p>
    <w:p w:rsidR="00693658" w:rsidRDefault="00693658" w:rsidP="00693658">
      <w:pPr>
        <w:snapToGrid w:val="0"/>
        <w:spacing w:beforeLines="50" w:before="180" w:afterLines="50" w:after="180"/>
        <w:jc w:val="center"/>
        <w:rPr>
          <w:rFonts w:ascii="華康超明體(P)" w:eastAsia="華康超明體(P)"/>
          <w:color w:val="000000"/>
          <w:sz w:val="36"/>
        </w:rPr>
      </w:pPr>
      <w:r>
        <w:rPr>
          <w:rFonts w:ascii="華康超明體(P)" w:eastAsia="華康超明體(P)" w:hint="eastAsia"/>
          <w:color w:val="000000"/>
          <w:sz w:val="36"/>
        </w:rPr>
        <w:t>發行日期：107年3月26日</w:t>
      </w:r>
    </w:p>
    <w:tbl>
      <w:tblPr>
        <w:tblStyle w:val="a3"/>
        <w:tblW w:w="10207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3132"/>
        <w:gridCol w:w="7075"/>
      </w:tblGrid>
      <w:tr w:rsidR="00693658" w:rsidTr="00540F68">
        <w:trPr>
          <w:jc w:val="center"/>
        </w:trPr>
        <w:tc>
          <w:tcPr>
            <w:tcW w:w="3132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書名、封面</w:t>
            </w:r>
          </w:p>
        </w:tc>
        <w:tc>
          <w:tcPr>
            <w:tcW w:w="7075" w:type="dxa"/>
          </w:tcPr>
          <w:p w:rsidR="00693658" w:rsidRPr="00AB44C7" w:rsidRDefault="00693658" w:rsidP="00540F68">
            <w:pPr>
              <w:jc w:val="center"/>
              <w:rPr>
                <w:b/>
              </w:rPr>
            </w:pPr>
            <w:r w:rsidRPr="00AB44C7">
              <w:rPr>
                <w:rFonts w:hint="eastAsia"/>
                <w:b/>
              </w:rPr>
              <w:t>內容簡介</w:t>
            </w:r>
          </w:p>
        </w:tc>
      </w:tr>
      <w:tr w:rsidR="00693658" w:rsidRPr="00804ADB" w:rsidTr="00540F68">
        <w:trPr>
          <w:trHeight w:val="2502"/>
          <w:jc w:val="center"/>
        </w:trPr>
        <w:tc>
          <w:tcPr>
            <w:tcW w:w="3132" w:type="dxa"/>
          </w:tcPr>
          <w:p w:rsidR="00693658" w:rsidRPr="00804ADB" w:rsidRDefault="00BD7639" w:rsidP="006942AD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BCC2995" wp14:editId="4AD01645">
                  <wp:extent cx="1508760" cy="1638300"/>
                  <wp:effectExtent l="0" t="0" r="0" b="0"/>
                  <wp:docPr id="1" name="圖片 1" descr="精緻marzipan手工藝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精緻marzipan手工藝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76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942AD" w:rsidRDefault="0006622C" w:rsidP="00540F68">
            <w:pPr>
              <w:widowControl/>
              <w:shd w:val="clear" w:color="auto" w:fill="FFFFFF"/>
              <w:snapToGrid w:val="0"/>
              <w:spacing w:line="320" w:lineRule="atLeast"/>
              <w:rPr>
                <w:b/>
                <w:szCs w:val="24"/>
              </w:rPr>
            </w:pPr>
            <w:r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精緻</w:t>
            </w:r>
            <w:r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marzipan</w:t>
            </w:r>
            <w:r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手工藝術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7639" w:rsidRPr="006942AD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 xml:space="preserve"> </w:t>
            </w:r>
            <w:hyperlink r:id="rId6" w:history="1">
              <w:r w:rsidR="00BD7639" w:rsidRPr="006942AD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曾鑠惠</w:t>
              </w:r>
            </w:hyperlink>
          </w:p>
          <w:p w:rsidR="00BD7639" w:rsidRPr="006942AD" w:rsidRDefault="00BD7639" w:rsidP="006942AD">
            <w:pPr>
              <w:widowControl/>
              <w:shd w:val="clear" w:color="auto" w:fill="FFFFFF"/>
              <w:spacing w:after="225"/>
              <w:jc w:val="both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手工細緻的杏仁膏（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marzipan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）甜點，並不只是蛋糕上的附屬裝飾而已，本書以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20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個獨立的童話故事加以呈現，前半部內容以如同繪本一般的方式，將後半部所要製作的杏仁膏主題融入輕鬆的故事情節當中，專業的精緻杏仁膏裝置藝術，以輕鬆有趣的方式呈現。</w:t>
            </w:r>
            <w:r w:rsidRPr="006942A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後半部的內容則是將</w:t>
            </w:r>
            <w:r w:rsidRPr="006942A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20</w:t>
            </w:r>
            <w:r w:rsidRPr="006942AD">
              <w:rPr>
                <w:rFonts w:ascii="Arial" w:hAnsi="Arial" w:cs="Arial"/>
                <w:b/>
                <w:color w:val="232323"/>
                <w:szCs w:val="24"/>
                <w:shd w:val="clear" w:color="auto" w:fill="FFFFFF"/>
              </w:rPr>
              <w:t>個童話故事主角的製作材料與方法，以詳盡的條列式文字與圖片呈現，讓讀者可以隨著內容文字、圖片的講解，一步一步慢慢學習，輕輕鬆鬆地學會杏仁膏甜點的製作。</w:t>
            </w:r>
          </w:p>
        </w:tc>
      </w:tr>
      <w:tr w:rsidR="00693658" w:rsidRPr="00804ADB" w:rsidTr="00540F68">
        <w:trPr>
          <w:trHeight w:val="2916"/>
          <w:jc w:val="center"/>
        </w:trPr>
        <w:tc>
          <w:tcPr>
            <w:tcW w:w="3132" w:type="dxa"/>
          </w:tcPr>
          <w:p w:rsidR="00693658" w:rsidRPr="00804ADB" w:rsidRDefault="00BD7639" w:rsidP="00540F68">
            <w:pPr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8E7716D" wp14:editId="01F71793">
                  <wp:extent cx="1394460" cy="1699260"/>
                  <wp:effectExtent l="0" t="0" r="0" b="0"/>
                  <wp:docPr id="2" name="圖片 2" descr="愛上藝術的第一本書：景物篇：學習大師風格與技巧，創造自己的藝術傑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愛上藝術的第一本書：景物篇：學習大師風格與技巧，創造自己的藝術傑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446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6942AD" w:rsidRDefault="0006622C" w:rsidP="006942A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愛上藝術的第一本書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7639" w:rsidRPr="006942A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  <w:hyperlink r:id="rId8" w:history="1">
              <w:r w:rsidR="00BD7639" w:rsidRPr="006942AD">
                <w:rPr>
                  <w:rFonts w:eastAsia="新細明體"/>
                  <w:b/>
                  <w:color w:val="232323"/>
                  <w:kern w:val="0"/>
                </w:rPr>
                <w:t>蘇西</w:t>
              </w:r>
              <w:r w:rsidR="00BD7639" w:rsidRPr="006942AD">
                <w:rPr>
                  <w:rFonts w:ascii="Arial" w:eastAsia="新細明體" w:hAnsi="Arial" w:cs="Arial"/>
                  <w:b/>
                  <w:color w:val="232323"/>
                  <w:kern w:val="0"/>
                </w:rPr>
                <w:t>‧</w:t>
              </w:r>
              <w:r w:rsidR="00BD7639" w:rsidRPr="006942AD">
                <w:rPr>
                  <w:rFonts w:eastAsia="新細明體"/>
                  <w:b/>
                  <w:color w:val="232323"/>
                  <w:kern w:val="0"/>
                </w:rPr>
                <w:t>布魯克斯</w:t>
              </w:r>
            </w:hyperlink>
            <w:r w:rsidR="00BD7639" w:rsidRPr="006942A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BD7639" w:rsidRPr="006942AD" w:rsidRDefault="00BD7639" w:rsidP="006942A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42A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「愛上藝術的第一本書」系列以經典藝術作品為範例，引導小朋友透過精采的實作，認識各種媒材與技法的特性，發掘自己的藝術天分。書中介紹的大師名作包括素描、粉彩、拼貼、雕塑、攝影等類型，涵蓋了藝術史上每一種重要風格，而實作內容則能讓小朋友了解不同的風格是怎麼做出來的，進而體會藝術創作的無限可能。你有沒有曾經很喜歡哪個地方，喜歡到想把它畫下來？風景畫是藝術最常見的主題之一，許多藝術家以獨特的方式描繪風景，展現他們眼中的世界。</w:t>
            </w:r>
          </w:p>
        </w:tc>
      </w:tr>
      <w:tr w:rsidR="00693658" w:rsidRPr="00804ADB" w:rsidTr="00C05879">
        <w:trPr>
          <w:trHeight w:val="2595"/>
          <w:jc w:val="center"/>
        </w:trPr>
        <w:tc>
          <w:tcPr>
            <w:tcW w:w="3132" w:type="dxa"/>
          </w:tcPr>
          <w:p w:rsidR="00693658" w:rsidRPr="00804ADB" w:rsidRDefault="00BD7639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96CF643" wp14:editId="14305703">
                  <wp:extent cx="1714500" cy="1318260"/>
                  <wp:effectExtent l="0" t="0" r="0" b="0"/>
                  <wp:docPr id="3" name="圖片 3" descr="等待一朵花的名字（黃春明作品集6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等待一朵花的名字（黃春明作品集6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942AD" w:rsidRDefault="0006622C" w:rsidP="006942AD">
            <w:pPr>
              <w:widowControl/>
              <w:shd w:val="clear" w:color="auto" w:fill="FFFFFF"/>
              <w:snapToGrid w:val="0"/>
              <w:spacing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等待一朵花的名字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 xml:space="preserve">    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7639" w:rsidRPr="006942A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 xml:space="preserve"> </w:t>
            </w:r>
            <w:hyperlink r:id="rId10" w:history="1">
              <w:r w:rsidR="00BD7639" w:rsidRPr="006942AD">
                <w:rPr>
                  <w:rFonts w:eastAsia="新細明體"/>
                  <w:b/>
                  <w:color w:val="232323"/>
                  <w:kern w:val="0"/>
                </w:rPr>
                <w:t>黃春明</w:t>
              </w:r>
            </w:hyperlink>
            <w:r w:rsidR="00BD7639" w:rsidRPr="006942AD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 </w:t>
            </w:r>
          </w:p>
          <w:p w:rsidR="00BD7639" w:rsidRPr="006942AD" w:rsidRDefault="00BD7639" w:rsidP="006942AD">
            <w:pPr>
              <w:widowControl/>
              <w:shd w:val="clear" w:color="auto" w:fill="FFFFFF"/>
              <w:snapToGrid w:val="0"/>
              <w:spacing w:after="225" w:line="320" w:lineRule="atLeast"/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</w:pP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在戲謔嘲諷的文字下，黃春明的散文和小說一樣，既犀利又寫實。其散文作品更能流露出他內在的關懷，也更突顯他純正良善的人格。在〈屋頂上的番茄樹〉一文中，黃春明自述他筆下的鄉俗小民在他腦海中不斷湧現，令他忍不住想用文學形式鋪陳這股強韌的生命力，因為這些小人物感動了他，他才寫出了這麼多動人的作品。</w:t>
            </w:r>
            <w:r w:rsid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本書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中的各個篇章或唯美，或質樸，在在顯現出一位文學大師最真實的生活態度，是不容錯過的精采著作。</w:t>
            </w:r>
          </w:p>
        </w:tc>
      </w:tr>
      <w:tr w:rsidR="00693658" w:rsidRPr="00804ADB" w:rsidTr="00540F68">
        <w:trPr>
          <w:trHeight w:val="3244"/>
          <w:jc w:val="center"/>
        </w:trPr>
        <w:tc>
          <w:tcPr>
            <w:tcW w:w="3132" w:type="dxa"/>
          </w:tcPr>
          <w:p w:rsidR="00693658" w:rsidRPr="00804ADB" w:rsidRDefault="00BD7639" w:rsidP="00540F68">
            <w:pPr>
              <w:jc w:val="center"/>
              <w:rPr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AC52A22" wp14:editId="58EE52E9">
                  <wp:extent cx="1219200" cy="1866900"/>
                  <wp:effectExtent l="0" t="0" r="0" b="0"/>
                  <wp:docPr id="4" name="圖片 4" descr="九歌101年童話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九歌101年童話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6942AD" w:rsidRDefault="0006622C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b/>
                <w:szCs w:val="24"/>
              </w:rPr>
            </w:pP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九歌</w:t>
            </w: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101</w:t>
            </w: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年童話選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作者</w:t>
            </w:r>
            <w:r w:rsidR="003213DC" w:rsidRPr="006942AD">
              <w:rPr>
                <w:rFonts w:ascii="Arial" w:eastAsia="新細明體" w:hAnsi="Arial" w:cs="Arial" w:hint="eastAsia"/>
                <w:b/>
                <w:color w:val="232323"/>
                <w:kern w:val="0"/>
                <w:szCs w:val="24"/>
              </w:rPr>
              <w:t>:</w:t>
            </w:r>
            <w:r w:rsidR="00BD7639" w:rsidRPr="006942AD">
              <w:rPr>
                <w:rFonts w:ascii="Arial" w:hAnsi="Arial" w:cs="Arial"/>
                <w:b/>
                <w:color w:val="666666"/>
                <w:szCs w:val="24"/>
                <w:shd w:val="clear" w:color="auto" w:fill="FFFFFF"/>
              </w:rPr>
              <w:t> </w:t>
            </w:r>
            <w:hyperlink r:id="rId12" w:history="1">
              <w:r w:rsidR="00BD7639" w:rsidRPr="006942AD">
                <w:rPr>
                  <w:rStyle w:val="a6"/>
                  <w:rFonts w:ascii="Arial" w:hAnsi="Arial" w:cs="Arial"/>
                  <w:b/>
                  <w:color w:val="333333"/>
                  <w:szCs w:val="24"/>
                  <w:u w:val="none"/>
                  <w:shd w:val="clear" w:color="auto" w:fill="FFFFFF"/>
                </w:rPr>
                <w:t>許建崑</w:t>
              </w:r>
            </w:hyperlink>
          </w:p>
          <w:p w:rsidR="00693658" w:rsidRPr="006942AD" w:rsidRDefault="00BD7639" w:rsidP="00C05879">
            <w:pPr>
              <w:widowControl/>
              <w:shd w:val="clear" w:color="auto" w:fill="FFFFFF"/>
              <w:spacing w:after="225"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糟糕了，孫悟空的分身「空悟」為了「越界」找樂子，居然幫大野狼吹倒了三隻小豬的紅磚房！快來喔，中秋月亮要出租！若想租月亮，只要按下「傳單」上唯一那顆不亮的星星直到發亮為止，就可以將月亮親自邀請來充當最美、最閃耀的燈光！看這邊，這裡還有冰冰涼涼白雲搭成的象鼻溜滑梯、漆成夕陽顏色的雲霄飛車、關節炎的機器人警察，以及雞大嬸手工碳烤蔥燒餅，與三隻貓咪鬆餅的大戰。一趟神奇的童話之旅，永遠不會知道下一秒會遇見什麼</w:t>
            </w:r>
            <w:r w:rsidRPr="00BD7639">
              <w:rPr>
                <w:rFonts w:ascii="Arial" w:eastAsia="新細明體" w:hAnsi="Arial" w:cs="Arial"/>
                <w:b/>
                <w:color w:val="232323"/>
                <w:kern w:val="0"/>
                <w:szCs w:val="24"/>
              </w:rPr>
              <w:t>……</w:t>
            </w:r>
          </w:p>
          <w:p w:rsidR="00693658" w:rsidRPr="006942AD" w:rsidRDefault="00693658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804ADB" w:rsidTr="00540F68">
        <w:trPr>
          <w:jc w:val="center"/>
        </w:trPr>
        <w:tc>
          <w:tcPr>
            <w:tcW w:w="3132" w:type="dxa"/>
          </w:tcPr>
          <w:p w:rsidR="00693658" w:rsidRPr="00804ADB" w:rsidRDefault="00693658" w:rsidP="00540F68">
            <w:pPr>
              <w:jc w:val="center"/>
              <w:rPr>
                <w:b/>
                <w:szCs w:val="24"/>
              </w:rPr>
            </w:pPr>
            <w:r w:rsidRPr="00804ADB">
              <w:rPr>
                <w:rFonts w:hint="eastAsia"/>
                <w:b/>
                <w:szCs w:val="24"/>
              </w:rPr>
              <w:lastRenderedPageBreak/>
              <w:t>書名、封面</w:t>
            </w:r>
          </w:p>
        </w:tc>
        <w:tc>
          <w:tcPr>
            <w:tcW w:w="7075" w:type="dxa"/>
          </w:tcPr>
          <w:p w:rsidR="00693658" w:rsidRPr="006942AD" w:rsidRDefault="00693658" w:rsidP="00540F68">
            <w:pPr>
              <w:jc w:val="center"/>
              <w:rPr>
                <w:b/>
                <w:szCs w:val="24"/>
              </w:rPr>
            </w:pPr>
            <w:r w:rsidRPr="006942AD">
              <w:rPr>
                <w:rFonts w:hint="eastAsia"/>
                <w:b/>
                <w:szCs w:val="24"/>
              </w:rPr>
              <w:t>內容簡介</w:t>
            </w:r>
          </w:p>
        </w:tc>
      </w:tr>
      <w:tr w:rsidR="00693658" w:rsidRPr="00C05879" w:rsidTr="00540F68">
        <w:trPr>
          <w:trHeight w:val="2818"/>
          <w:jc w:val="center"/>
        </w:trPr>
        <w:tc>
          <w:tcPr>
            <w:tcW w:w="3132" w:type="dxa"/>
            <w:vAlign w:val="center"/>
          </w:tcPr>
          <w:p w:rsidR="00693658" w:rsidRPr="00C05879" w:rsidRDefault="00BD7639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684591D2" wp14:editId="4FF81109">
                  <wp:extent cx="1264920" cy="1539240"/>
                  <wp:effectExtent l="0" t="0" r="0" b="3810"/>
                  <wp:docPr id="5" name="圖片 5" descr="專注的六堂課：考上第一志願，學霸養成讀書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專注的六堂課：考上第一志願，學霸養成讀書法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C05879" w:rsidRDefault="0006622C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專注的</w:t>
            </w: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6</w:t>
            </w: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堂課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 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BD7639" w:rsidRPr="00C05879">
              <w:rPr>
                <w:rFonts w:ascii="Arial" w:hAnsi="Arial" w:cs="Arial"/>
                <w:b/>
                <w:color w:val="232323"/>
                <w:szCs w:val="24"/>
              </w:rPr>
              <w:t xml:space="preserve">  </w:t>
            </w:r>
            <w:hyperlink r:id="rId14" w:history="1">
              <w:r w:rsidR="00BD7639" w:rsidRPr="00C05879">
                <w:rPr>
                  <w:b/>
                  <w:color w:val="232323"/>
                </w:rPr>
                <w:t>粂原圭太郎</w:t>
              </w:r>
            </w:hyperlink>
            <w:r w:rsidR="00C05879" w:rsidRPr="00C05879">
              <w:rPr>
                <w:rFonts w:ascii="Arial" w:hAnsi="Arial" w:cs="Arial"/>
                <w:b/>
                <w:color w:val="232323"/>
                <w:szCs w:val="24"/>
              </w:rPr>
              <w:tab/>
            </w:r>
          </w:p>
          <w:p w:rsidR="00BD7639" w:rsidRDefault="00BD7639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分心時代你最需要的一本書</w:t>
            </w:r>
            <w:r w:rsidR="00C0587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資優生的讀書小秘訣</w:t>
            </w:r>
            <w:r w:rsidR="00C0587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每個人都能提起動力，維持專注！我記不住讀的內容。我擔心自己用的讀書方法不對。讀書與天份無關！建立正確心態，培養專注力，將成為你一輩子的武器，人生隨心駕馭！複習方式有一套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重複，是把書讀進頭腦的唯一方法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「四次複習作戰」，幫助形成長期記憶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做完題目一定要立刻對答案</w:t>
            </w:r>
            <w:r w:rsidR="00C0587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。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培養正確心態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累積微小的「成功體驗」，有助於跨越讀書障礙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 xml:space="preserve">改變思考模式，把「必須做」變成「想要做」　　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→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並非「有動力才想念書」，而是「越讀才會越有動力」</w:t>
            </w:r>
          </w:p>
          <w:p w:rsidR="00C05879" w:rsidRPr="006942AD" w:rsidRDefault="00C05879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C05879" w:rsidTr="00C05879">
        <w:trPr>
          <w:trHeight w:val="3182"/>
          <w:jc w:val="center"/>
        </w:trPr>
        <w:tc>
          <w:tcPr>
            <w:tcW w:w="3132" w:type="dxa"/>
            <w:vAlign w:val="center"/>
          </w:tcPr>
          <w:p w:rsidR="00693658" w:rsidRPr="00C05879" w:rsidRDefault="00BD7639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2AB9FC54" wp14:editId="3C11F709">
                  <wp:extent cx="1463040" cy="1577340"/>
                  <wp:effectExtent l="0" t="0" r="3810" b="3810"/>
                  <wp:docPr id="6" name="圖片 6" descr="全思考：吧台旁說人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全思考：吧台旁說人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040" cy="157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  <w:shd w:val="clear" w:color="auto" w:fill="auto"/>
          </w:tcPr>
          <w:p w:rsidR="00693658" w:rsidRPr="00C05879" w:rsidRDefault="00BD7639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北野武全思考</w:t>
            </w:r>
            <w:r w:rsidR="00A1411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</w:t>
            </w:r>
            <w:bookmarkStart w:id="0" w:name="_GoBack"/>
            <w:bookmarkEnd w:id="0"/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吧台旁說人生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hyperlink r:id="rId16" w:history="1">
              <w:r w:rsidRPr="00C05879">
                <w:rPr>
                  <w:b/>
                  <w:color w:val="232323"/>
                </w:rPr>
                <w:t>北野武</w:t>
              </w:r>
            </w:hyperlink>
          </w:p>
          <w:p w:rsidR="00BD7639" w:rsidRPr="006942AD" w:rsidRDefault="00BD7639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從漫才師到演員、電影導演、作家、畫家</w:t>
            </w:r>
            <w:r w:rsidR="00C05879">
              <w:rPr>
                <w:rFonts w:asciiTheme="minorEastAsia" w:hAnsiTheme="minorEastAsia" w:cs="Arial" w:hint="eastAsia"/>
                <w:b/>
                <w:color w:val="232323"/>
                <w:szCs w:val="24"/>
              </w:rPr>
              <w:t>，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他無法被定義，從不安分於單一角色。直言無忌的大砲性格，卻有最多廣告指名找他「說真話」，連年獲選「最希望他當總理的名人」，甚至讓日本年輕人大呼：「想成為像他那樣的大人！」是思考，讓他如此與眾不同。北野武，一個多元跨界的傳奇人物。從一九七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○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年代漫才組合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TwoBeats</w:t>
            </w: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創造空前成功開始，他彷彿取之不竭地揮灑才華，在電視圈是一周連上七次節目的火紅藝人，在電影界是風靡海外的藝術巨匠，甚至出版散文、詩集，還受邀至巴黎舉辦個人畫展。</w:t>
            </w:r>
          </w:p>
        </w:tc>
      </w:tr>
      <w:tr w:rsidR="00693658" w:rsidRPr="00C05879" w:rsidTr="00540F68">
        <w:trPr>
          <w:jc w:val="center"/>
        </w:trPr>
        <w:tc>
          <w:tcPr>
            <w:tcW w:w="3132" w:type="dxa"/>
            <w:vAlign w:val="center"/>
          </w:tcPr>
          <w:p w:rsidR="00693658" w:rsidRPr="00C05879" w:rsidRDefault="006942AD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44F054DC" wp14:editId="52F45B4E">
                  <wp:extent cx="1402080" cy="1531620"/>
                  <wp:effectExtent l="0" t="0" r="7620" b="0"/>
                  <wp:docPr id="7" name="圖片 7" descr="阿德勒愛與引導在教育的實踐：12個幫助孩子發展歸屬、信心、貢獻的教育現場故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阿德勒愛與引導在教育的實踐：12個幫助孩子發展歸屬、信心、貢獻的教育現場故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75" w:type="dxa"/>
          </w:tcPr>
          <w:p w:rsidR="00693658" w:rsidRPr="00C05879" w:rsidRDefault="0006622C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阿德勒愛與引導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在</w:t>
            </w:r>
            <w:r w:rsidRPr="006942AD">
              <w:rPr>
                <w:rFonts w:ascii="Arial" w:hAnsi="Arial" w:cs="Arial" w:hint="eastAsia"/>
                <w:b/>
                <w:color w:val="232323"/>
                <w:szCs w:val="24"/>
              </w:rPr>
              <w:t>教育的實踐</w:t>
            </w:r>
            <w:r w:rsidR="003213DC" w:rsidRPr="006942AD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    </w:t>
            </w:r>
            <w:r w:rsidR="003213DC" w:rsidRPr="00C05879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="003213DC" w:rsidRPr="00C05879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6942AD" w:rsidRPr="00C05879">
              <w:rPr>
                <w:rFonts w:ascii="Arial" w:hAnsi="Arial" w:cs="Arial"/>
                <w:b/>
                <w:color w:val="232323"/>
                <w:szCs w:val="24"/>
              </w:rPr>
              <w:t> </w:t>
            </w:r>
            <w:hyperlink r:id="rId18" w:history="1">
              <w:r w:rsidR="006942AD" w:rsidRPr="00C05879">
                <w:rPr>
                  <w:b/>
                  <w:color w:val="232323"/>
                </w:rPr>
                <w:t>吳毓瑩</w:t>
              </w:r>
            </w:hyperlink>
            <w:r w:rsidR="006942AD" w:rsidRPr="00C05879">
              <w:rPr>
                <w:rFonts w:ascii="Arial" w:hAnsi="Arial" w:cs="Arial"/>
                <w:b/>
                <w:color w:val="232323"/>
                <w:szCs w:val="24"/>
              </w:rPr>
              <w:t>, </w:t>
            </w:r>
            <w:hyperlink r:id="rId19" w:history="1">
              <w:r w:rsidR="006942AD" w:rsidRPr="00C05879">
                <w:rPr>
                  <w:b/>
                  <w:color w:val="232323"/>
                </w:rPr>
                <w:t>吳淑禎</w:t>
              </w:r>
            </w:hyperlink>
          </w:p>
          <w:p w:rsidR="00693658" w:rsidRPr="006942AD" w:rsidRDefault="006942AD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誕生在某個家庭的孩子，帶著外顯的頭痛行為來到學校，遇見老師「你」。孩子渴望老師能穿透他的外顯行為，看見他心中的渴求。　孩子憤怒，因為他不被了解；孩子灰心，因為覺得自己對團體沒有貢獻。每個孩子都有能力，只是有的被用錯了地方，他們需要被引導、需要轉向。本書作者群是熱愛輔導工作的教師，也是認同阿德勒學派理念的教學現場工作者。他們跟所有老師一樣，在教育孩子的過程中備感挫折與煩惱，但他們同時感到心疼，心疼受困的孩子們，並且想方設法，幫助孩子得到關懷得到愛，進而可以幫助孩子愛自己、愛別人，長出能力，看到自己的價值，對群體有貢獻。</w:t>
            </w:r>
          </w:p>
          <w:p w:rsidR="00693658" w:rsidRPr="006942AD" w:rsidRDefault="00693658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  <w:tr w:rsidR="00693658" w:rsidRPr="00C05879" w:rsidTr="00540F68">
        <w:trPr>
          <w:trHeight w:val="3239"/>
          <w:jc w:val="center"/>
        </w:trPr>
        <w:tc>
          <w:tcPr>
            <w:tcW w:w="3132" w:type="dxa"/>
            <w:vAlign w:val="center"/>
          </w:tcPr>
          <w:p w:rsidR="00693658" w:rsidRPr="00C05879" w:rsidRDefault="006942AD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noProof/>
                <w:color w:val="232323"/>
                <w:szCs w:val="24"/>
              </w:rPr>
              <w:drawing>
                <wp:inline distT="0" distB="0" distL="0" distR="0" wp14:anchorId="00642C27" wp14:editId="1DFE8ED7">
                  <wp:extent cx="1691640" cy="1600200"/>
                  <wp:effectExtent l="0" t="0" r="3810" b="0"/>
                  <wp:docPr id="8" name="圖片 8" descr="你的未來值多少?：像精算師一樣思考，估算出最適合自己的選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你的未來值多少?：像精算師一樣思考，估算出最適合自己的選擇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3658" w:rsidRPr="00C05879" w:rsidRDefault="00693658" w:rsidP="00C05879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  <w:tc>
          <w:tcPr>
            <w:tcW w:w="7075" w:type="dxa"/>
          </w:tcPr>
          <w:p w:rsidR="00693658" w:rsidRDefault="003213DC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 w:hint="eastAsia"/>
                <w:b/>
                <w:color w:val="232323"/>
                <w:szCs w:val="24"/>
              </w:rPr>
              <w:t>你的未來值多少</w:t>
            </w:r>
            <w:r w:rsidRPr="00C05879">
              <w:rPr>
                <w:rFonts w:ascii="Arial" w:hAnsi="Arial" w:cs="Arial" w:hint="eastAsia"/>
                <w:b/>
                <w:color w:val="232323"/>
                <w:szCs w:val="24"/>
              </w:rPr>
              <w:t xml:space="preserve">?   </w:t>
            </w:r>
            <w:r w:rsidRPr="00C05879">
              <w:rPr>
                <w:rFonts w:ascii="Arial" w:hAnsi="Arial" w:cs="Arial" w:hint="eastAsia"/>
                <w:b/>
                <w:color w:val="232323"/>
                <w:szCs w:val="24"/>
              </w:rPr>
              <w:t>作者</w:t>
            </w:r>
            <w:r w:rsidRPr="00C05879">
              <w:rPr>
                <w:rFonts w:ascii="Arial" w:hAnsi="Arial" w:cs="Arial" w:hint="eastAsia"/>
                <w:b/>
                <w:color w:val="232323"/>
                <w:szCs w:val="24"/>
              </w:rPr>
              <w:t>:</w:t>
            </w:r>
            <w:r w:rsidR="006942AD" w:rsidRPr="00C05879">
              <w:rPr>
                <w:rFonts w:ascii="Arial" w:hAnsi="Arial" w:cs="Arial"/>
                <w:b/>
                <w:color w:val="232323"/>
                <w:szCs w:val="24"/>
              </w:rPr>
              <w:t xml:space="preserve"> </w:t>
            </w:r>
            <w:hyperlink r:id="rId21" w:history="1">
              <w:r w:rsidR="006942AD" w:rsidRPr="00C05879">
                <w:rPr>
                  <w:b/>
                  <w:color w:val="232323"/>
                </w:rPr>
                <w:t>彼德．紐沃斯</w:t>
              </w:r>
            </w:hyperlink>
          </w:p>
          <w:p w:rsidR="00C05879" w:rsidRPr="00C05879" w:rsidRDefault="00C05879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  <w:p w:rsidR="006942AD" w:rsidRPr="00C05879" w:rsidRDefault="006942AD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  <w:r w:rsidRPr="00C05879">
              <w:rPr>
                <w:rFonts w:ascii="Arial" w:hAnsi="Arial" w:cs="Arial"/>
                <w:b/>
                <w:color w:val="232323"/>
                <w:szCs w:val="24"/>
              </w:rPr>
              <w:t>本書提供許多生活上的實例一步一步說明運用現值分析的五個步驟，幫助你簡單、有條理地評估每一個選擇可能產生的未來結果。你可以用來決定要現在還是之後做某件事；從日常生活中的決策，如該修理舊車還是購買新車，該存更多錢到退休金帳戶、甚至是決定要不要結婚、什麼時候生小孩，這些事都可以運用現值來思考與決策。運用這套系統化思考的精算思維，現在就知道你的未來價值，做出最適合自己的選擇！</w:t>
            </w:r>
          </w:p>
          <w:p w:rsidR="003213DC" w:rsidRPr="00C05879" w:rsidRDefault="003213DC" w:rsidP="00540F68">
            <w:pPr>
              <w:widowControl/>
              <w:shd w:val="clear" w:color="auto" w:fill="FFFFFF"/>
              <w:snapToGrid w:val="0"/>
              <w:spacing w:line="240" w:lineRule="atLeast"/>
              <w:contextualSpacing/>
              <w:jc w:val="both"/>
              <w:rPr>
                <w:rFonts w:ascii="Arial" w:hAnsi="Arial" w:cs="Arial"/>
                <w:b/>
                <w:color w:val="232323"/>
                <w:szCs w:val="24"/>
              </w:rPr>
            </w:pPr>
          </w:p>
        </w:tc>
      </w:tr>
    </w:tbl>
    <w:p w:rsidR="00693658" w:rsidRPr="00C05879" w:rsidRDefault="00693658" w:rsidP="00C05879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693658" w:rsidRPr="00C05879" w:rsidRDefault="00693658" w:rsidP="00C05879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p w:rsidR="000A406B" w:rsidRPr="00C05879" w:rsidRDefault="000A406B" w:rsidP="00C05879">
      <w:pPr>
        <w:widowControl/>
        <w:shd w:val="clear" w:color="auto" w:fill="FFFFFF"/>
        <w:snapToGrid w:val="0"/>
        <w:spacing w:line="240" w:lineRule="atLeast"/>
        <w:contextualSpacing/>
        <w:jc w:val="both"/>
        <w:rPr>
          <w:rFonts w:ascii="Arial" w:hAnsi="Arial" w:cs="Arial"/>
          <w:b/>
          <w:color w:val="232323"/>
          <w:szCs w:val="24"/>
        </w:rPr>
      </w:pPr>
    </w:p>
    <w:sectPr w:rsidR="000A406B" w:rsidRPr="00C058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超明體(P)">
    <w:altName w:val="Arial Unicode MS"/>
    <w:panose1 w:val="02020C00000000000000"/>
    <w:charset w:val="88"/>
    <w:family w:val="roman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58"/>
    <w:rsid w:val="0006622C"/>
    <w:rsid w:val="000A406B"/>
    <w:rsid w:val="003213DC"/>
    <w:rsid w:val="00693658"/>
    <w:rsid w:val="006942AD"/>
    <w:rsid w:val="00A14119"/>
    <w:rsid w:val="00BD7639"/>
    <w:rsid w:val="00C0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63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D7639"/>
    <w:rPr>
      <w:color w:val="0000FF"/>
      <w:u w:val="single"/>
    </w:rPr>
  </w:style>
  <w:style w:type="character" w:styleId="a7">
    <w:name w:val="Strong"/>
    <w:basedOn w:val="a0"/>
    <w:uiPriority w:val="22"/>
    <w:qFormat/>
    <w:rsid w:val="00BD76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936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D76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63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BD7639"/>
    <w:rPr>
      <w:color w:val="0000FF"/>
      <w:u w:val="single"/>
    </w:rPr>
  </w:style>
  <w:style w:type="character" w:styleId="a7">
    <w:name w:val="Strong"/>
    <w:basedOn w:val="a0"/>
    <w:uiPriority w:val="22"/>
    <w:qFormat/>
    <w:rsid w:val="00BD7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books.com.tw/exep/prod_search.php?key=%E8%98%87%E8%A5%BF%E2%80%A7%E5%B8%83%E9%AD%AF%E5%85%8B%E6%96%AF&amp;f=author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://search.books.com.tw/exep/prod_search.php?key=%E5%90%B3%E6%AF%93%E7%91%A9&amp;f=auth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arch.books.com.tw/exep/prod_search.php?key=%E5%BD%BC%E5%BE%B7%EF%BC%8E%E7%B4%90%E6%B2%83%E6%96%AF&amp;f=author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search.books.com.tw/exep/prod_search.php?key=%E8%A8%B1%E5%BB%BA%E5%B4%91%2F%E4%B8%BB%E7%B7%A8&amp;f=author" TargetMode="External"/><Relationship Id="rId17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://search.books.com.tw/exep/prod_search.php?key=%E5%8C%97%E9%87%8E%E6%AD%A6&amp;f=author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6%9B%BE%E9%91%A0%E6%83%A0%2F%E8%AD%AF&amp;f=author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search.books.com.tw/exep/prod_search.php?key=%E9%BB%83%E6%98%A5%E6%98%8E&amp;f=author" TargetMode="External"/><Relationship Id="rId19" Type="http://schemas.openxmlformats.org/officeDocument/2006/relationships/hyperlink" Target="http://search.books.com.tw/exep/prod_search.php?key=%E5%90%B3%E6%B7%91%E7%A6%8E%2F%E4%B8%BB%E7%B7%A8&amp;f=autho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search.books.com.tw/exep/prod_search.php?key=%E7%B2%82%E5%8E%9F%E5%9C%AD%E5%A4%AA%E9%83%8E&amp;f=autho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acer-pc</dc:creator>
  <cp:keywords/>
  <dc:description/>
  <cp:lastModifiedBy>acer-pc</cp:lastModifiedBy>
  <cp:revision>4</cp:revision>
  <dcterms:created xsi:type="dcterms:W3CDTF">2018-03-07T23:21:00Z</dcterms:created>
  <dcterms:modified xsi:type="dcterms:W3CDTF">2018-03-20T23:29:00Z</dcterms:modified>
</cp:coreProperties>
</file>